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63A63"/>
          <w:sz w:val="40"/>
        </w:rPr>
        <w:t>Report finale BM vs PB</w:t>
      </w:r>
    </w:p>
    <w:p>
      <w:pPr>
        <w:jc w:val="center"/>
      </w:pPr>
      <w:r>
        <w:rPr>
          <w:i/>
          <w:color w:val="6B7280"/>
          <w:sz w:val="20"/>
        </w:rPr>
        <w:t>Report automatico BM vs PB generato dalla pipeline FlowCT Python</w:t>
      </w:r>
    </w:p>
    <w:p/>
    <w:p>
      <w:r>
        <w:rPr>
          <w:b/>
          <w:color w:val="163A63"/>
          <w:sz w:val="26"/>
        </w:rPr>
        <w:t>Sintesi</w:t>
      </w:r>
    </w:p>
    <w:p>
      <w:pPr/>
      <w:r>
        <w:rPr>
          <w:sz w:val="21"/>
        </w:rPr>
        <w:t>Questo report riassume la composizione per metacluster nei due compartimenti (BM e PB) e fornisce una interpretazione preliminare del pattern osservato.</w:t>
      </w:r>
    </w:p>
    <w:p>
      <w:r>
        <w:rPr>
          <w:b/>
          <w:color w:val="163A63"/>
          <w:sz w:val="26"/>
        </w:rPr>
        <w:t>Tabella riassuntiva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016"/>
            <w:vAlign w:val="center"/>
            <w:shd w:fill="EAF1F8"/>
          </w:tcPr>
          <w:p>
            <w:r>
              <w:rPr>
                <w:b/>
                <w:sz w:val="19"/>
              </w:rPr>
              <w:t>Metacluster</w:t>
            </w:r>
          </w:p>
        </w:tc>
        <w:tc>
          <w:tcPr>
            <w:tcW w:type="dxa" w:w="1584"/>
            <w:vAlign w:val="center"/>
            <w:shd w:fill="EAF1F8"/>
          </w:tcPr>
          <w:p>
            <w:r>
              <w:rPr>
                <w:b/>
                <w:sz w:val="19"/>
              </w:rPr>
              <w:t>BM %</w:t>
            </w:r>
          </w:p>
        </w:tc>
        <w:tc>
          <w:tcPr>
            <w:tcW w:type="dxa" w:w="1584"/>
            <w:vAlign w:val="center"/>
            <w:shd w:fill="EAF1F8"/>
          </w:tcPr>
          <w:p>
            <w:r>
              <w:rPr>
                <w:b/>
                <w:sz w:val="19"/>
              </w:rPr>
              <w:t>PB %</w:t>
            </w:r>
          </w:p>
        </w:tc>
        <w:tc>
          <w:tcPr>
            <w:tcW w:type="dxa" w:w="5328"/>
            <w:vAlign w:val="center"/>
            <w:shd w:fill="EAF1F8"/>
          </w:tcPr>
          <w:p>
            <w:r>
              <w:rPr>
                <w:b/>
                <w:sz w:val="19"/>
              </w:rPr>
              <w:t>Interpretazione</w:t>
            </w:r>
          </w:p>
        </w:tc>
      </w:tr>
      <w:tr>
        <w:tc>
          <w:tcPr>
            <w:tcW w:type="dxa" w:w="2016"/>
            <w:vAlign w:val="center"/>
          </w:tcPr>
          <w:p>
            <w:r>
              <w:rPr>
                <w:sz w:val="18"/>
              </w:rPr>
              <w:t>Myeloid</w:t>
            </w:r>
          </w:p>
        </w:tc>
        <w:tc>
          <w:tcPr>
            <w:tcW w:type="dxa" w:w="1584"/>
            <w:vAlign w:val="center"/>
          </w:tcPr>
          <w:p>
            <w:pPr>
              <w:jc w:val="center"/>
            </w:pPr>
            <w:r>
              <w:rPr>
                <w:sz w:val="18"/>
              </w:rPr>
              <w:t>26.26%</w:t>
            </w:r>
          </w:p>
        </w:tc>
        <w:tc>
          <w:tcPr>
            <w:tcW w:type="dxa" w:w="1584"/>
            <w:vAlign w:val="center"/>
          </w:tcPr>
          <w:p>
            <w:pPr>
              <w:jc w:val="center"/>
            </w:pPr>
            <w:r>
              <w:rPr>
                <w:sz w:val="18"/>
              </w:rPr>
              <w:t>38.30%</w:t>
            </w:r>
          </w:p>
        </w:tc>
        <w:tc>
          <w:tcPr>
            <w:tcW w:type="dxa" w:w="5328"/>
            <w:vAlign w:val="center"/>
          </w:tcPr>
          <w:p>
            <w:r>
              <w:rPr>
                <w:sz w:val="18"/>
              </w:rPr>
              <w:t>Non arricchito nel BM; da verificare.</w:t>
            </w:r>
          </w:p>
        </w:tc>
      </w:tr>
      <w:tr>
        <w:tc>
          <w:tcPr>
            <w:tcW w:type="dxa" w:w="2016"/>
            <w:vAlign w:val="center"/>
          </w:tcPr>
          <w:p>
            <w:r>
              <w:rPr>
                <w:sz w:val="18"/>
              </w:rPr>
              <w:t>T</w:t>
            </w:r>
          </w:p>
        </w:tc>
        <w:tc>
          <w:tcPr>
            <w:tcW w:type="dxa" w:w="1584"/>
            <w:vAlign w:val="center"/>
          </w:tcPr>
          <w:p>
            <w:pPr>
              <w:jc w:val="center"/>
            </w:pPr>
            <w:r>
              <w:rPr>
                <w:sz w:val="18"/>
              </w:rPr>
              <w:t>14.09%</w:t>
            </w:r>
          </w:p>
        </w:tc>
        <w:tc>
          <w:tcPr>
            <w:tcW w:type="dxa" w:w="1584"/>
            <w:vAlign w:val="center"/>
          </w:tcPr>
          <w:p>
            <w:pPr>
              <w:jc w:val="center"/>
            </w:pPr>
            <w:r>
              <w:rPr>
                <w:sz w:val="18"/>
              </w:rPr>
              <w:t>27.91%</w:t>
            </w:r>
          </w:p>
        </w:tc>
        <w:tc>
          <w:tcPr>
            <w:tcW w:type="dxa" w:w="5328"/>
            <w:vAlign w:val="center"/>
          </w:tcPr>
          <w:p>
            <w:r>
              <w:rPr>
                <w:sz w:val="18"/>
              </w:rPr>
              <w:t>Arricchito nel PB; coerente con maggiore quota di linfociti T circolanti.</w:t>
            </w:r>
          </w:p>
        </w:tc>
      </w:tr>
      <w:tr>
        <w:tc>
          <w:tcPr>
            <w:tcW w:type="dxa" w:w="2016"/>
            <w:vAlign w:val="center"/>
          </w:tcPr>
          <w:p>
            <w:r>
              <w:rPr>
                <w:sz w:val="18"/>
              </w:rPr>
              <w:t>Plasma/Mieloma-like</w:t>
            </w:r>
          </w:p>
        </w:tc>
        <w:tc>
          <w:tcPr>
            <w:tcW w:type="dxa" w:w="1584"/>
            <w:vAlign w:val="center"/>
          </w:tcPr>
          <w:p>
            <w:pPr>
              <w:jc w:val="center"/>
            </w:pPr>
            <w:r>
              <w:rPr>
                <w:sz w:val="18"/>
              </w:rPr>
              <w:t>7.07%</w:t>
            </w:r>
          </w:p>
        </w:tc>
        <w:tc>
          <w:tcPr>
            <w:tcW w:type="dxa" w:w="1584"/>
            <w:vAlign w:val="center"/>
          </w:tcPr>
          <w:p>
            <w:pPr>
              <w:jc w:val="center"/>
            </w:pPr>
            <w:r>
              <w:rPr>
                <w:sz w:val="18"/>
              </w:rPr>
              <w:t>3.34%</w:t>
            </w:r>
          </w:p>
        </w:tc>
        <w:tc>
          <w:tcPr>
            <w:tcW w:type="dxa" w:w="5328"/>
            <w:vAlign w:val="center"/>
          </w:tcPr>
          <w:p>
            <w:r>
              <w:rPr>
                <w:sz w:val="18"/>
              </w:rPr>
              <w:t>Netto arricchimento nel BM; compatibile con compartimento plasmacellulare/mieloma-like.</w:t>
            </w:r>
          </w:p>
        </w:tc>
      </w:tr>
      <w:tr>
        <w:tc>
          <w:tcPr>
            <w:tcW w:type="dxa" w:w="2016"/>
            <w:vAlign w:val="center"/>
          </w:tcPr>
          <w:p>
            <w:r>
              <w:rPr>
                <w:sz w:val="18"/>
              </w:rPr>
              <w:t>B-like</w:t>
            </w:r>
          </w:p>
        </w:tc>
        <w:tc>
          <w:tcPr>
            <w:tcW w:type="dxa" w:w="1584"/>
            <w:vAlign w:val="center"/>
          </w:tcPr>
          <w:p>
            <w:pPr>
              <w:jc w:val="center"/>
            </w:pPr>
            <w:r>
              <w:rPr>
                <w:sz w:val="18"/>
              </w:rPr>
              <w:t>25.49%</w:t>
            </w:r>
          </w:p>
        </w:tc>
        <w:tc>
          <w:tcPr>
            <w:tcW w:type="dxa" w:w="1584"/>
            <w:vAlign w:val="center"/>
          </w:tcPr>
          <w:p>
            <w:pPr>
              <w:jc w:val="center"/>
            </w:pPr>
            <w:r>
              <w:rPr>
                <w:sz w:val="18"/>
              </w:rPr>
              <w:t>0.27%</w:t>
            </w:r>
          </w:p>
        </w:tc>
        <w:tc>
          <w:tcPr>
            <w:tcW w:type="dxa" w:w="5328"/>
            <w:vAlign w:val="center"/>
          </w:tcPr>
          <w:p>
            <w:r>
              <w:rPr>
                <w:sz w:val="18"/>
              </w:rPr>
              <w:t>Moderatamente arricchito nel BM rispetto al PB.</w:t>
            </w:r>
          </w:p>
        </w:tc>
      </w:tr>
      <w:tr>
        <w:tc>
          <w:tcPr>
            <w:tcW w:type="dxa" w:w="2016"/>
            <w:vAlign w:val="center"/>
          </w:tcPr>
          <w:p>
            <w:r>
              <w:rPr>
                <w:sz w:val="18"/>
              </w:rPr>
              <w:t>T activated</w:t>
            </w:r>
          </w:p>
        </w:tc>
        <w:tc>
          <w:tcPr>
            <w:tcW w:type="dxa" w:w="1584"/>
            <w:vAlign w:val="center"/>
          </w:tcPr>
          <w:p>
            <w:pPr>
              <w:jc w:val="center"/>
            </w:pPr>
            <w:r>
              <w:rPr>
                <w:sz w:val="18"/>
              </w:rPr>
              <w:t>2.53%</w:t>
            </w:r>
          </w:p>
        </w:tc>
        <w:tc>
          <w:tcPr>
            <w:tcW w:type="dxa" w:w="1584"/>
            <w:vAlign w:val="center"/>
          </w:tcPr>
          <w:p>
            <w:pPr>
              <w:jc w:val="center"/>
            </w:pPr>
            <w:r>
              <w:rPr>
                <w:sz w:val="18"/>
              </w:rPr>
              <w:t>0.04%</w:t>
            </w:r>
          </w:p>
        </w:tc>
        <w:tc>
          <w:tcPr>
            <w:tcW w:type="dxa" w:w="5328"/>
            <w:vAlign w:val="center"/>
          </w:tcPr>
          <w:p>
            <w:r>
              <w:rPr>
                <w:sz w:val="18"/>
              </w:rPr>
              <w:t>Non chiaramente arricchito nel PB; da verificare.</w:t>
            </w:r>
          </w:p>
        </w:tc>
      </w:tr>
      <w:tr>
        <w:tc>
          <w:tcPr>
            <w:tcW w:type="dxa" w:w="2016"/>
            <w:vAlign w:val="center"/>
          </w:tcPr>
          <w:p>
            <w:r>
              <w:rPr>
                <w:sz w:val="18"/>
              </w:rPr>
              <w:t>Ambiguous</w:t>
            </w:r>
          </w:p>
        </w:tc>
        <w:tc>
          <w:tcPr>
            <w:tcW w:type="dxa" w:w="1584"/>
            <w:vAlign w:val="center"/>
          </w:tcPr>
          <w:p>
            <w:pPr>
              <w:jc w:val="center"/>
            </w:pPr>
            <w:r>
              <w:rPr>
                <w:sz w:val="18"/>
              </w:rPr>
              <w:t>24.56%</w:t>
            </w:r>
          </w:p>
        </w:tc>
        <w:tc>
          <w:tcPr>
            <w:tcW w:type="dxa" w:w="1584"/>
            <w:vAlign w:val="center"/>
          </w:tcPr>
          <w:p>
            <w:pPr>
              <w:jc w:val="center"/>
            </w:pPr>
            <w:r>
              <w:rPr>
                <w:sz w:val="18"/>
              </w:rPr>
              <w:t>30.14%</w:t>
            </w:r>
          </w:p>
        </w:tc>
        <w:tc>
          <w:tcPr>
            <w:tcW w:type="dxa" w:w="5328"/>
            <w:vAlign w:val="center"/>
          </w:tcPr>
          <w:p>
            <w:r>
              <w:rPr>
                <w:sz w:val="18"/>
              </w:rPr>
              <w:t>Presente in entrambi i compartimenti; quota ancora da affinare con annotazione/pannello.</w:t>
            </w:r>
          </w:p>
        </w:tc>
      </w:tr>
    </w:tbl>
    <w:p/>
    <w:p>
      <w:r>
        <w:rPr>
          <w:b/>
          <w:color w:val="163A63"/>
          <w:sz w:val="26"/>
        </w:rPr>
        <w:t>Osservazioni principali</w:t>
      </w:r>
    </w:p>
    <w:p>
      <w:pPr>
        <w:pStyle w:val="ListBullet"/>
      </w:pPr>
      <w:r>
        <w:rPr>
          <w:sz w:val="20"/>
        </w:rPr>
        <w:t>Il compartimento mieloide è arricchito nel BM (26.3%) mentre il compartimento T prevale nel PB (27.9%).</w:t>
      </w:r>
    </w:p>
    <w:p>
      <w:pPr>
        <w:pStyle w:val="ListBullet"/>
      </w:pPr>
      <w:r>
        <w:rPr>
          <w:sz w:val="20"/>
        </w:rPr>
        <w:t>Il compartimento Plasma/Mieloma-like è nettamente più rappresentato nel BM (7.1%) rispetto al PB (3.3%).</w:t>
      </w:r>
    </w:p>
    <w:p>
      <w:pPr>
        <w:pStyle w:val="ListBullet"/>
      </w:pPr>
      <w:r>
        <w:rPr>
          <w:sz w:val="20"/>
        </w:rPr>
        <w:t>I compartimenti B-like e T activated risultano più rappresentati nel PB (0.3% e 0.0%).</w:t>
      </w:r>
    </w:p>
    <w:p>
      <w:pPr>
        <w:pStyle w:val="ListBullet"/>
      </w:pPr>
      <w:r>
        <w:rPr>
          <w:sz w:val="20"/>
        </w:rPr>
        <w:t>La quota Ambiguous resta presente in entrambi i compartimenti (BM 24.6%, PB 30.1%), suggerendo margine di raffinamento dell'annotazione.</w:t>
      </w:r>
    </w:p>
    <w:p>
      <w:r>
        <w:rPr>
          <w:b/>
          <w:color w:val="163A63"/>
          <w:sz w:val="26"/>
        </w:rPr>
        <w:t>Figure</w:t>
      </w:r>
    </w:p>
    <w:p>
      <w:r>
        <w:br w:type="page"/>
      </w:r>
    </w:p>
    <w:p>
      <w:pPr>
        <w:jc w:val="left"/>
      </w:pPr>
      <w:r>
        <w:rPr>
          <w:b/>
          <w:sz w:val="20"/>
        </w:rPr>
        <w:t>umap_metacluster.png</w:t>
      </w:r>
    </w:p>
    <w:p>
      <w:r>
        <w:drawing>
          <wp:inline xmlns:a="http://schemas.openxmlformats.org/drawingml/2006/main" xmlns:pic="http://schemas.openxmlformats.org/drawingml/2006/picture">
            <wp:extent cx="5577840" cy="44566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umap_metacluster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44566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r>
        <w:br w:type="page"/>
      </w:r>
    </w:p>
    <w:p>
      <w:pPr>
        <w:jc w:val="left"/>
      </w:pPr>
      <w:r>
        <w:rPr>
          <w:b/>
          <w:sz w:val="20"/>
        </w:rPr>
        <w:t>metacluster_abundance_by_sample_type.png</w:t>
      </w:r>
    </w:p>
    <w:p>
      <w:r>
        <w:drawing>
          <wp:inline xmlns:a="http://schemas.openxmlformats.org/drawingml/2006/main" xmlns:pic="http://schemas.openxmlformats.org/drawingml/2006/picture">
            <wp:extent cx="5577840" cy="332242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etacluster_abundance_by_sample_typ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33224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r>
        <w:br w:type="page"/>
      </w:r>
    </w:p>
    <w:p>
      <w:pPr>
        <w:jc w:val="left"/>
      </w:pPr>
      <w:r>
        <w:rPr>
          <w:b/>
          <w:sz w:val="20"/>
        </w:rPr>
        <w:t>metacluster_abundance_by_sample.png</w:t>
      </w:r>
    </w:p>
    <w:p>
      <w:r>
        <w:drawing>
          <wp:inline xmlns:a="http://schemas.openxmlformats.org/drawingml/2006/main" xmlns:pic="http://schemas.openxmlformats.org/drawingml/2006/picture">
            <wp:extent cx="5577840" cy="2761934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etacluster_abundance_by_sampl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27619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r>
        <w:rPr>
          <w:i/>
          <w:color w:val="6B7280"/>
          <w:sz w:val="18"/>
        </w:rPr>
        <w:t>Nota: le interpretazioni sono descrittive e preliminari; non rappresentano una conclusione clinica definitiva.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